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fonts/font18.odttf" ContentType="application/vnd.openxmlformats-officedocument.obfuscatedFont"/>
  <Override PartName="/word/fonts/font19.odttf" ContentType="application/vnd.openxmlformats-officedocument.obfuscatedFont"/>
  <Override PartName="/word/fonts/font20.odttf" ContentType="application/vnd.openxmlformats-officedocument.obfuscatedFont"/>
  <Override PartName="/word/fonts/font21.odttf" ContentType="application/vnd.openxmlformats-officedocument.obfuscatedFont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  <Override PartName="/word/_rels/fontTable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widowControl w:val="false"/>
        <w:spacing w:before="0" w:after="60"/>
        <w:jc w:val="center"/>
        <w:rPr/>
      </w:pPr>
      <w:r>
        <w:rPr>
          <w:b/>
          <w:color w:val="000000"/>
        </w:rPr>
        <w:t>ANEXO</w:t>
      </w:r>
      <w:r>
        <w:rPr>
          <w:b/>
        </w:rPr>
        <w:t xml:space="preserve"> IX</w:t>
      </w:r>
      <w:r>
        <w:rPr>
          <w:b/>
          <w:color w:val="000000"/>
        </w:rPr>
        <w:t xml:space="preserve"> - EDITAL 038</w:t>
      </w:r>
      <w:r>
        <w:rPr>
          <w:b/>
          <w:color w:val="000000"/>
          <w:shd w:fill="auto" w:val="clear"/>
        </w:rPr>
        <w:t>/202</w:t>
      </w:r>
      <w:r>
        <w:rPr>
          <w:b/>
          <w:shd w:fill="auto" w:val="clear"/>
        </w:rPr>
        <w:t>5</w:t>
      </w:r>
      <w:r>
        <w:rPr>
          <w:b/>
          <w:color w:val="000000"/>
          <w:shd w:fill="auto" w:val="clear"/>
        </w:rPr>
        <w:t>-</w:t>
      </w:r>
      <w:r>
        <w:rPr>
          <w:b/>
          <w:color w:val="000000"/>
        </w:rPr>
        <w:t>PROPPG</w:t>
      </w:r>
    </w:p>
    <w:p>
      <w:pPr>
        <w:pStyle w:val="Normal"/>
        <w:spacing w:before="0" w:after="0"/>
        <w:jc w:val="center"/>
        <w:rPr/>
      </w:pPr>
      <w:r>
        <w:rPr>
          <w:b/>
          <w:color w:val="000000"/>
        </w:rPr>
        <w:t xml:space="preserve">LEITURAS INDICADAS PARA A PROVA ESCRITA </w:t>
      </w:r>
    </w:p>
    <w:p>
      <w:pPr>
        <w:pStyle w:val="Normal"/>
        <w:spacing w:before="0" w:after="0"/>
        <w:jc w:val="center"/>
        <w:rPr>
          <w:b/>
          <w:color w:val="000000"/>
        </w:rPr>
      </w:pPr>
      <w:r>
        <w:rPr>
          <w:b/>
          <w:color w:val="000000"/>
        </w:rPr>
      </w:r>
    </w:p>
    <w:p>
      <w:pPr>
        <w:pStyle w:val="Normal"/>
        <w:spacing w:before="0" w:after="0"/>
        <w:jc w:val="center"/>
        <w:rPr>
          <w:b/>
          <w:color w:val="000000"/>
        </w:rPr>
      </w:pPr>
      <w:r>
        <w:rPr>
          <w:b/>
          <w:color w:val="000000"/>
        </w:rPr>
      </w:r>
    </w:p>
    <w:p>
      <w:pPr>
        <w:pStyle w:val="Normal"/>
        <w:spacing w:before="0" w:after="0"/>
        <w:ind w:hanging="0"/>
        <w:rPr/>
      </w:pPr>
      <w:r>
        <w:rPr>
          <w:b/>
          <w:color w:val="000000"/>
        </w:rPr>
        <w:t>Observação:</w:t>
      </w:r>
      <w:r>
        <w:rPr>
          <w:color w:val="000000"/>
        </w:rPr>
        <w:t xml:space="preserve"> Esta lista deve ser entendida como o referencial mínimo que o/a candidato/a deve possuir para a realização da prova escrita e não exclui a possibilidade de que sejam exigidos conteúdos presentes em outras obras.</w:t>
      </w:r>
    </w:p>
    <w:p>
      <w:pPr>
        <w:pStyle w:val="Normal"/>
        <w:spacing w:before="0" w:after="0"/>
        <w:ind w:firstLine="709" w:left="-426" w:right="-568"/>
        <w:rPr>
          <w:b/>
        </w:rPr>
      </w:pPr>
      <w:r>
        <w:rPr>
          <w:b/>
        </w:rPr>
      </w:r>
    </w:p>
    <w:p>
      <w:pPr>
        <w:pStyle w:val="Normal"/>
        <w:spacing w:before="240" w:after="240"/>
        <w:ind w:hanging="0"/>
        <w:rPr>
          <w:b/>
          <w:highlight w:val="white"/>
        </w:rPr>
      </w:pPr>
      <w:r>
        <w:rPr>
          <w:b/>
          <w:highlight w:val="white"/>
        </w:rPr>
        <w:t>Leituras indicadas para a resolução da Questão 1:</w:t>
      </w:r>
    </w:p>
    <w:p>
      <w:pPr>
        <w:pStyle w:val="Normal"/>
        <w:spacing w:before="240" w:after="240"/>
        <w:ind w:hanging="0"/>
        <w:rPr>
          <w:highlight w:val="yellow"/>
        </w:rPr>
      </w:pPr>
      <w:r>
        <w:rPr>
          <w:highlight w:val="white"/>
        </w:rPr>
        <w:t xml:space="preserve">Dourado, L. F., &amp; Araujo, W. M. de P.. O Sistema Nacional e o Plano Nacional de Educação para a próxima década (2024-2034): desafios à luz das deliberações da Conae 2024. </w:t>
      </w:r>
      <w:r>
        <w:rPr>
          <w:i/>
          <w:highlight w:val="white"/>
        </w:rPr>
        <w:t>Retratos Da Escola</w:t>
      </w:r>
      <w:r>
        <w:rPr>
          <w:highlight w:val="white"/>
        </w:rPr>
        <w:t xml:space="preserve">, </w:t>
      </w:r>
      <w:r>
        <w:rPr>
          <w:i/>
          <w:highlight w:val="white"/>
        </w:rPr>
        <w:t>18</w:t>
      </w:r>
      <w:r>
        <w:rPr>
          <w:highlight w:val="white"/>
        </w:rPr>
        <w:t xml:space="preserve">(41). </w:t>
      </w:r>
      <w:hyperlink r:id="rId2">
        <w:r>
          <w:rPr>
            <w:rStyle w:val="ListLabel47"/>
            <w:highlight w:val="white"/>
          </w:rPr>
          <w:t>https://doi.org/10.22420/rde.v18i41.2138</w:t>
        </w:r>
      </w:hyperlink>
      <w:r>
        <w:rPr>
          <w:highlight w:val="white"/>
        </w:rPr>
        <w:t>. Acesso em: 30 jul. 2025.</w:t>
      </w:r>
    </w:p>
    <w:p>
      <w:pPr>
        <w:pStyle w:val="Normal"/>
        <w:spacing w:before="240" w:after="240"/>
        <w:ind w:hanging="0"/>
        <w:rPr>
          <w:highlight w:val="white"/>
        </w:rPr>
      </w:pPr>
      <w:r>
        <w:rPr>
          <w:highlight w:val="white"/>
        </w:rPr>
        <w:t xml:space="preserve">RIZZATTI, Ivanise Maria; MENDONÇA, Andrea Pereira; MATTOS, Francisco; RÔÇAS, Giselle; SILVA, Marcos André B Vaz da; CAVALCANTI, Ricardo Jorge de S.; OLIVEIRA, Rosemary Rodrigues de. Os produtos e processos educacionais dos programas de pós-graduação profissionais: proposições de um grupo de colaboradores. ACTIO: Docência em Ciências, Curitiba, PR, v.5, n. 2, p. 1-17, mai./ago. 2020. Disponível em: </w:t>
      </w:r>
      <w:hyperlink r:id="rId3">
        <w:r>
          <w:rPr>
            <w:rStyle w:val="ListLabel47"/>
            <w:highlight w:val="white"/>
          </w:rPr>
          <w:t>https://periodicos.utfpr.edu.br/actio/article/view/12657/7658</w:t>
        </w:r>
      </w:hyperlink>
      <w:r>
        <w:rPr>
          <w:highlight w:val="white"/>
        </w:rPr>
        <w:t>. Acesso em: 30 jul. 2025.</w:t>
      </w:r>
    </w:p>
    <w:p>
      <w:pPr>
        <w:pStyle w:val="Normal"/>
        <w:spacing w:before="240" w:after="240"/>
        <w:ind w:hanging="0"/>
        <w:rPr>
          <w:highlight w:val="white"/>
        </w:rPr>
      </w:pPr>
      <w:r>
        <w:rPr>
          <w:highlight w:val="white"/>
        </w:rPr>
      </w:r>
    </w:p>
    <w:p>
      <w:pPr>
        <w:pStyle w:val="Normal"/>
        <w:spacing w:before="240" w:after="240"/>
        <w:ind w:hanging="0"/>
        <w:rPr>
          <w:sz w:val="20"/>
          <w:szCs w:val="20"/>
          <w:highlight w:val="white"/>
        </w:rPr>
      </w:pPr>
      <w:r>
        <w:rPr>
          <w:b/>
          <w:highlight w:val="white"/>
        </w:rPr>
        <w:t>Leitura indicada para a resolução da Questão 2:</w:t>
      </w:r>
    </w:p>
    <w:p>
      <w:pPr>
        <w:pStyle w:val="Normal"/>
        <w:ind w:hanging="0"/>
        <w:rPr>
          <w:highlight w:val="white"/>
        </w:rPr>
      </w:pPr>
      <w:r>
        <w:rPr>
          <w:highlight w:val="white"/>
        </w:rPr>
        <w:t xml:space="preserve">CONTE, Elaine; OURIQUE, Maiane Liana Hatschbach; BASEGIO, Antonio Carlos. Tecnologia Assistiva, direitos humanos e educação inclusiva: uma nova sensibilidade. Educação em Revista, v. 33, 2017. Disponível em: </w:t>
      </w:r>
      <w:hyperlink r:id="rId4">
        <w:r>
          <w:rPr>
            <w:rStyle w:val="ListLabel47"/>
            <w:highlight w:val="white"/>
          </w:rPr>
          <w:t>https://www.scielo.br/j/edur/a/xY3m8QFyHQwXzfXykFHYFHz/?format=pdf&amp;lang=</w:t>
        </w:r>
      </w:hyperlink>
      <w:r>
        <w:rPr>
          <w:highlight w:val="white"/>
        </w:rPr>
        <w:t>pt. Acesso em: 30 jul. 2025.</w:t>
      </w:r>
    </w:p>
    <w:p>
      <w:pPr>
        <w:pStyle w:val="Normal"/>
        <w:spacing w:before="0" w:after="0"/>
        <w:ind w:hanging="0"/>
        <w:jc w:val="left"/>
        <w:rPr>
          <w:color w:val="000000"/>
        </w:rPr>
      </w:pPr>
      <w:r>
        <w:rPr>
          <w:color w:val="000000"/>
        </w:rPr>
      </w:r>
    </w:p>
    <w:p>
      <w:pPr>
        <w:pStyle w:val="Normal"/>
        <w:ind w:firstLine="709" w:left="-567"/>
        <w:rPr>
          <w:b/>
          <w:color w:val="000000"/>
        </w:rPr>
      </w:pPr>
      <w:r>
        <w:rPr>
          <w:b/>
          <w:color w:val="000000"/>
        </w:rPr>
      </w:r>
    </w:p>
    <w:p>
      <w:pPr>
        <w:pStyle w:val="Normal"/>
        <w:ind w:firstLine="709" w:left="-567"/>
        <w:rPr>
          <w:b/>
          <w:color w:val="000000"/>
        </w:rPr>
      </w:pPr>
      <w:r>
        <w:rPr>
          <w:b/>
          <w:color w:val="000000"/>
        </w:rPr>
      </w:r>
    </w:p>
    <w:p>
      <w:pPr>
        <w:pStyle w:val="Normal"/>
        <w:jc w:val="center"/>
        <w:rPr>
          <w:b/>
          <w:color w:val="000000"/>
        </w:rPr>
      </w:pPr>
      <w:r>
        <w:rPr>
          <w:b/>
          <w:color w:val="000000"/>
        </w:rPr>
      </w:r>
    </w:p>
    <w:p>
      <w:pPr>
        <w:pStyle w:val="Normal"/>
        <w:rPr>
          <w:b/>
          <w:color w:val="000000"/>
        </w:rPr>
      </w:pPr>
      <w:r>
        <w:rPr>
          <w:b/>
          <w:color w:val="000000"/>
        </w:rPr>
      </w:r>
    </w:p>
    <w:p>
      <w:pPr>
        <w:pStyle w:val="Normal"/>
        <w:spacing w:before="0" w:after="0"/>
        <w:ind w:hanging="0"/>
        <w:jc w:val="left"/>
        <w:rPr/>
      </w:pPr>
      <w:r>
        <w:rPr/>
      </w:r>
    </w:p>
    <w:p>
      <w:pPr>
        <w:pStyle w:val="Normal"/>
        <w:spacing w:before="0" w:after="0"/>
        <w:ind w:hanging="0"/>
        <w:jc w:val="left"/>
        <w:rPr/>
      </w:pPr>
      <w:r>
        <w:rPr/>
      </w:r>
    </w:p>
    <w:p>
      <w:pPr>
        <w:pStyle w:val="Normal"/>
        <w:spacing w:before="0" w:after="0"/>
        <w:ind w:hanging="0"/>
        <w:jc w:val="left"/>
        <w:rPr/>
      </w:pPr>
      <w:r>
        <w:rPr/>
      </w:r>
    </w:p>
    <w:p>
      <w:pPr>
        <w:pStyle w:val="Normal"/>
        <w:spacing w:before="0" w:after="0"/>
        <w:ind w:hanging="0"/>
        <w:jc w:val="left"/>
        <w:rPr/>
      </w:pPr>
      <w:r>
        <w:rPr/>
      </w:r>
    </w:p>
    <w:p>
      <w:pPr>
        <w:pStyle w:val="Normal"/>
        <w:spacing w:before="0" w:after="0"/>
        <w:ind w:hanging="0"/>
        <w:jc w:val="left"/>
        <w:rPr/>
      </w:pPr>
      <w:r>
        <w:rPr/>
      </w:r>
    </w:p>
    <w:p>
      <w:pPr>
        <w:pStyle w:val="Normal"/>
        <w:spacing w:before="0" w:after="0"/>
        <w:ind w:hanging="0"/>
        <w:jc w:val="left"/>
        <w:rPr/>
      </w:pPr>
      <w:r>
        <w:rPr/>
      </w:r>
    </w:p>
    <w:p>
      <w:pPr>
        <w:pStyle w:val="Normal"/>
        <w:spacing w:before="0" w:after="0"/>
        <w:ind w:hanging="0"/>
        <w:jc w:val="left"/>
        <w:rPr/>
      </w:pPr>
      <w:r>
        <w:rPr/>
      </w:r>
    </w:p>
    <w:p>
      <w:pPr>
        <w:pStyle w:val="Normal"/>
        <w:spacing w:before="0" w:after="0"/>
        <w:ind w:hanging="0"/>
        <w:jc w:val="left"/>
        <w:rPr/>
      </w:pPr>
      <w:r>
        <w:rPr/>
      </w:r>
    </w:p>
    <w:p>
      <w:pPr>
        <w:pStyle w:val="Normal"/>
        <w:spacing w:before="0" w:after="0"/>
        <w:ind w:hanging="0"/>
        <w:jc w:val="left"/>
        <w:rPr/>
      </w:pPr>
      <w:r>
        <w:rPr/>
      </w:r>
    </w:p>
    <w:p>
      <w:pPr>
        <w:pStyle w:val="Normal"/>
        <w:spacing w:before="0" w:after="0"/>
        <w:ind w:hanging="0"/>
        <w:jc w:val="left"/>
        <w:rPr/>
      </w:pPr>
      <w:r>
        <w:rPr/>
      </w:r>
    </w:p>
    <w:p>
      <w:pPr>
        <w:pStyle w:val="Normal"/>
        <w:spacing w:before="0" w:after="0"/>
        <w:ind w:hanging="0"/>
        <w:jc w:val="left"/>
        <w:rPr/>
      </w:pPr>
      <w:r>
        <w:rPr/>
      </w:r>
    </w:p>
    <w:sectPr>
      <w:headerReference w:type="even" r:id="rId5"/>
      <w:headerReference w:type="default" r:id="rId6"/>
      <w:headerReference w:type="first" r:id="rId7"/>
      <w:footerReference w:type="even" r:id="rId8"/>
      <w:footerReference w:type="default" r:id="rId9"/>
      <w:footerReference w:type="first" r:id="rId10"/>
      <w:type w:val="nextPage"/>
      <w:pgSz w:w="11906" w:h="16838"/>
      <w:pgMar w:left="1275" w:right="1134" w:gutter="0" w:header="0" w:top="709" w:footer="0" w:bottom="510"/>
      <w:pgNumType w:start="1"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00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Liberation Sans">
    <w:altName w:val="Arial"/>
    <w:charset w:val="00"/>
    <w:family w:val="swiss"/>
    <w:pitch w:val="variable"/>
    <w:embedRegular r:id="rId14" w:fontKey="{0E014A78-CABC-4EF0-12AC-5CD89AEFDE0E}"/>
    <w:embedBold r:id="rId15" w:fontKey="{0F014A78-CABC-4EF0-12AC-5CD89AEFDE0F}"/>
    <w:embedItalic r:id="rId16" w:fontKey="{10014A78-CABC-4EF0-12AC-5CD89AEFDE10}"/>
    <w:embedBoldItalic r:id="rId17" w:fontKey="{11014A78-CABC-4EF0-12AC-5CD89AEFDE11}"/>
  </w:font>
  <w:font w:name="Georgia">
    <w:charset w:val="00"/>
    <w:family w:val="roman"/>
    <w:pitch w:val="variable"/>
    <w:embedRegular r:id="rId18" w:fontKey="{12014A78-CABC-4EF0-12AC-5CD89AEFDE12}"/>
    <w:embedBold r:id="rId19" w:fontKey="{13014A78-CABC-4EF0-12AC-5CD89AEFDE13}"/>
    <w:embedItalic r:id="rId20" w:fontKey="{14014A78-CABC-4EF0-12AC-5CD89AEFDE14}"/>
    <w:embedBoldItalic r:id="rId21" w:fontKey="{15014A78-CABC-4EF0-12AC-5CD89AEFDE15}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spacing w:before="0" w:after="60"/>
      <w:rPr/>
    </w:pPr>
    <w:r>
      <w:rPr/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spacing w:before="0" w:after="60"/>
      <w:rPr/>
    </w:pPr>
    <w:r>
      <w:rPr/>
    </w:r>
  </w:p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spacing w:before="0" w:after="60"/>
      <w:rPr/>
    </w:pPr>
    <w:r>
      <w:rPr/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spacing w:before="0" w:after="60"/>
      <w:rPr/>
    </w:pPr>
    <w:r>
      <w:rPr/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spacing w:before="0" w:after="60"/>
      <w:rPr/>
    </w:pPr>
    <w:r>
      <w:rPr/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spacing w:before="0" w:after="60"/>
      <w:rPr/>
    </w:pPr>
    <w:r>
      <w:rPr/>
    </w:r>
  </w:p>
</w:hdr>
</file>

<file path=word/settings.xml><?xml version="1.0" encoding="utf-8"?>
<w:settings xmlns:w="http://schemas.openxmlformats.org/wordprocessingml/2006/main">
  <w:zoom w:percent="130"/>
  <w:embedTrueTypeFonts/>
  <w:defaultTabStop w:val="720"/>
  <w:autoHyphenation w:val="true"/>
  <w:hyphenationZone w:val="0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themeFontLang w:val="pt-BR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Arial" w:hAnsi="Arial" w:eastAsia="Arial" w:cs="Arial"/>
        <w:sz w:val="24"/>
        <w:szCs w:val="24"/>
        <w:lang w:val="pt-BR" w:eastAsia="pt-BR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pPr>
      <w:widowControl/>
      <w:suppressAutoHyphens w:val="true"/>
      <w:bidi w:val="0"/>
      <w:spacing w:before="0" w:after="60"/>
      <w:ind w:firstLine="709"/>
      <w:jc w:val="both"/>
    </w:pPr>
    <w:rPr>
      <w:rFonts w:ascii="Arial" w:hAnsi="Arial" w:eastAsia="Arial" w:cs="Arial"/>
      <w:color w:val="auto"/>
      <w:kern w:val="0"/>
      <w:sz w:val="24"/>
      <w:szCs w:val="24"/>
      <w:lang w:val="pt-BR" w:eastAsia="pt-BR" w:bidi="ar-SA"/>
    </w:rPr>
  </w:style>
  <w:style w:type="paragraph" w:styleId="Heading1">
    <w:name w:val="heading 1"/>
    <w:basedOn w:val="Normal"/>
    <w:next w:val="Normal"/>
    <w:uiPriority w:val="9"/>
    <w:qFormat/>
    <w:pPr>
      <w:keepNext w:val="true"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 w:val="true"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 w:val="true"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 w:val="true"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 w:val="true"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 w:val="true"/>
      <w:keepLines/>
      <w:spacing w:before="200" w:after="40"/>
      <w:outlineLvl w:val="5"/>
    </w:pPr>
    <w:rPr>
      <w:b/>
      <w:sz w:val="20"/>
      <w:szCs w:val="20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InternetLink">
    <w:name w:val="Internet Link"/>
    <w:qFormat/>
    <w:rPr>
      <w:color w:val="000080"/>
      <w:u w:val="single"/>
    </w:rPr>
  </w:style>
  <w:style w:type="character" w:styleId="InternetLink1">
    <w:name w:val="Internet Link1"/>
    <w:qFormat/>
    <w:rPr>
      <w:color w:val="000080"/>
      <w:u w:val="single"/>
    </w:rPr>
  </w:style>
  <w:style w:type="character" w:styleId="InternetLink2">
    <w:name w:val="Internet Link2"/>
    <w:qFormat/>
    <w:rPr>
      <w:color w:val="000080"/>
      <w:u w:val="single"/>
    </w:rPr>
  </w:style>
  <w:style w:type="character" w:styleId="InternetLink3">
    <w:name w:val="Internet Link3"/>
    <w:qFormat/>
    <w:rPr>
      <w:color w:val="000080"/>
      <w:u w:val="single"/>
    </w:rPr>
  </w:style>
  <w:style w:type="character" w:styleId="Hyperlink">
    <w:name w:val="Hyperlink"/>
    <w:rPr>
      <w:color w:val="000080"/>
      <w:u w:val="single"/>
    </w:rPr>
  </w:style>
  <w:style w:type="paragraph" w:styleId="Ttulo">
    <w:name w:val="Título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Arial"/>
    </w:rPr>
  </w:style>
  <w:style w:type="paragraph" w:styleId="Title">
    <w:name w:val="Title"/>
    <w:basedOn w:val="Normal"/>
    <w:next w:val="Normal"/>
    <w:uiPriority w:val="10"/>
    <w:qFormat/>
    <w:pPr>
      <w:keepNext w:val="true"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 w:val="true"/>
      <w:keepLines/>
      <w:spacing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w:type="paragraph" w:styleId="Contedodoquadro">
    <w:name w:val="Conteúdo do quadro"/>
    <w:basedOn w:val="Normal"/>
    <w:qFormat/>
    <w:pPr/>
    <w:rPr/>
  </w:style>
  <w:style w:type="paragraph" w:styleId="Cabealhoerodap">
    <w:name w:val="Cabeçalho e rodapé"/>
    <w:basedOn w:val="Normal"/>
    <w:qFormat/>
    <w:pPr/>
    <w:rPr/>
  </w:style>
  <w:style w:type="paragraph" w:styleId="Header">
    <w:name w:val="header"/>
    <w:basedOn w:val="Cabealhoerodap"/>
    <w:pPr/>
    <w:rPr/>
  </w:style>
  <w:style w:type="paragraph" w:styleId="Footer">
    <w:name w:val="footer"/>
    <w:basedOn w:val="Cabealhoerodap"/>
    <w:pPr/>
    <w:rPr/>
  </w:style>
  <w:style w:type="paragraph" w:styleId="normal1">
    <w:name w:val="normal1"/>
    <w:qFormat/>
    <w:pPr>
      <w:widowControl/>
      <w:suppressAutoHyphens w:val="true"/>
      <w:bidi w:val="0"/>
      <w:spacing w:lineRule="auto" w:line="276" w:before="0" w:after="0"/>
      <w:jc w:val="left"/>
    </w:pPr>
    <w:rPr>
      <w:rFonts w:ascii="Arial" w:hAnsi="Arial" w:eastAsia="Arial" w:cs="Arial"/>
      <w:color w:val="auto"/>
      <w:kern w:val="0"/>
      <w:sz w:val="22"/>
      <w:szCs w:val="22"/>
      <w:lang w:val="pt-BR" w:eastAsia="pt-BR" w:bidi="ar-SA"/>
    </w:rPr>
  </w:style>
  <w:style w:type="numbering" w:styleId="Semlista" w:default="1">
    <w:name w:val="Sem lista"/>
    <w:uiPriority w:val="99"/>
    <w:semiHidden/>
    <w:unhideWhenUsed/>
    <w:qFormat/>
  </w:style>
  <w:style w:type="table" w:default="1" w:styleId="Tabela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https://doi.org/10.22420/rde.v18i41.2138" TargetMode="External"/><Relationship Id="rId3" Type="http://schemas.openxmlformats.org/officeDocument/2006/relationships/hyperlink" Target="https://periodicos.utfpr.edu.br/actio/article/view/12657/7658" TargetMode="External"/><Relationship Id="rId4" Type="http://schemas.openxmlformats.org/officeDocument/2006/relationships/hyperlink" Target="https://www.scielo.br/j/edur/a/xY3m8QFyHQwXzfXykFHYFHz/?format=pdf&amp;lang=" TargetMode="External"/><Relationship Id="rId5" Type="http://schemas.openxmlformats.org/officeDocument/2006/relationships/header" Target="header1.xml"/><Relationship Id="rId6" Type="http://schemas.openxmlformats.org/officeDocument/2006/relationships/header" Target="header2.xml"/><Relationship Id="rId7" Type="http://schemas.openxmlformats.org/officeDocument/2006/relationships/header" Target="header3.xml"/><Relationship Id="rId8" Type="http://schemas.openxmlformats.org/officeDocument/2006/relationships/footer" Target="footer1.xml"/><Relationship Id="rId9" Type="http://schemas.openxmlformats.org/officeDocument/2006/relationships/footer" Target="footer2.xml"/><Relationship Id="rId10" Type="http://schemas.openxmlformats.org/officeDocument/2006/relationships/footer" Target="footer3.xml"/><Relationship Id="rId11" Type="http://schemas.openxmlformats.org/officeDocument/2006/relationships/fontTable" Target="fontTable.xml"/><Relationship Id="rId12" Type="http://schemas.openxmlformats.org/officeDocument/2006/relationships/settings" Target="settings.xml"/><Relationship Id="rId13" Type="http://schemas.openxmlformats.org/officeDocument/2006/relationships/theme" Target="theme/theme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<Relationship Id="rId18" Type="http://schemas.openxmlformats.org/officeDocument/2006/relationships/font" Target="fonts/font18.odttf"/><Relationship Id="rId19" Type="http://schemas.openxmlformats.org/officeDocument/2006/relationships/font" Target="fonts/font19.odttf"/><Relationship Id="rId20" Type="http://schemas.openxmlformats.org/officeDocument/2006/relationships/font" Target="fonts/font20.odttf"/><Relationship Id="rId21" Type="http://schemas.openxmlformats.org/officeDocument/2006/relationships/font" Target="fonts/font21.odttf"/>
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 pitchFamily="0" charset="1"/>
        <a:ea typeface=""/>
        <a:cs typeface=""/>
      </a:majorFont>
      <a:minorFont>
        <a:latin typeface="Cambria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 l="0" t="0" r="0" b="0"/>
        </a:gradFill>
        <a:gradFill>
          <a:gsLst>
            <a:gs pos="0">
              <a:schemeClr val="phClr">
                <a:tint val="100000"/>
                <a:shade val="100000"/>
              </a:schemeClr>
            </a:gs>
            <a:gs pos="100000">
              <a:schemeClr val="phClr">
                <a:tint val="50000"/>
                <a:shade val="100000"/>
              </a:schemeClr>
            </a:gs>
          </a:gsLst>
          <a:lin ang="16200000" scaled="0"/>
          <a:tileRect l="0" t="0" r="0" b="0"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 l="0" t="0" r="0" b="0"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 l="0" t="0" r="0" b="0"/>
        </a:gra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Application>LibreOffice/24.8.0.3$Windows_X86_64 LibreOffice_project/0bdf1299c94fe897b119f97f3c613e9dca6be583</Application>
  <AppVersion>15.0000</AppVersion>
  <Pages>1</Pages>
  <Words>198</Words>
  <Characters>1262</Characters>
  <CharactersWithSpaces>1453</CharactersWithSpaces>
  <Paragraphs>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2025-07-24T19:23:00Z</dcterms:created>
  <dc:creator>Carlos Cézar da Silva</dc:creator>
  <dc:description/>
  <dc:language>pt-BR</dc:language>
  <cp:lastModifiedBy/>
  <dcterms:modified xsi:type="dcterms:W3CDTF">2025-08-05T18:12:11Z</dcterms:modified>
  <cp:revision>9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